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2384E" w14:textId="77777777" w:rsidR="00E14FFC" w:rsidRPr="007126D9" w:rsidRDefault="00E14FFC" w:rsidP="00E14FFC">
      <w:pPr>
        <w:spacing w:line="460" w:lineRule="exact"/>
        <w:ind w:firstLine="420"/>
        <w:outlineLvl w:val="1"/>
        <w:rPr>
          <w:rFonts w:ascii="微软雅黑" w:eastAsia="微软雅黑" w:hAnsi="微软雅黑"/>
          <w:b/>
        </w:rPr>
      </w:pPr>
      <w:r w:rsidRPr="00F62F17">
        <w:rPr>
          <w:rFonts w:ascii="微软雅黑" w:eastAsia="微软雅黑" w:hAnsi="微软雅黑" w:hint="eastAsia"/>
          <w:b/>
        </w:rPr>
        <w:t>附件</w:t>
      </w:r>
      <w:r>
        <w:rPr>
          <w:rFonts w:ascii="微软雅黑" w:eastAsia="微软雅黑" w:hAnsi="微软雅黑" w:hint="eastAsia"/>
          <w:b/>
        </w:rPr>
        <w:t>2</w:t>
      </w:r>
      <w:r w:rsidRPr="00F62F17">
        <w:rPr>
          <w:rFonts w:ascii="微软雅黑" w:eastAsia="微软雅黑" w:hAnsi="微软雅黑" w:hint="eastAsia"/>
          <w:b/>
        </w:rPr>
        <w:t>：</w:t>
      </w:r>
      <w:bookmarkStart w:id="0" w:name="_GoBack"/>
      <w:r w:rsidRPr="00295E60">
        <w:rPr>
          <w:rFonts w:ascii="微软雅黑" w:eastAsia="微软雅黑" w:hAnsi="微软雅黑" w:cs="宋体" w:hint="eastAsia"/>
          <w:b/>
          <w:bCs/>
          <w:szCs w:val="28"/>
        </w:rPr>
        <w:t>《</w:t>
      </w:r>
      <w:r w:rsidRPr="00295E60">
        <w:rPr>
          <w:rFonts w:ascii="微软雅黑" w:eastAsia="微软雅黑" w:hAnsi="微软雅黑" w:cs="宋体"/>
          <w:b/>
          <w:bCs/>
          <w:szCs w:val="28"/>
        </w:rPr>
        <w:t>华东师范大学硕士专业学位论文</w:t>
      </w:r>
      <w:r w:rsidRPr="00295E60">
        <w:rPr>
          <w:rFonts w:ascii="微软雅黑" w:eastAsia="微软雅黑" w:hAnsi="微软雅黑" w:cs="宋体" w:hint="eastAsia"/>
          <w:b/>
          <w:bCs/>
          <w:szCs w:val="28"/>
        </w:rPr>
        <w:t>重合率</w:t>
      </w:r>
      <w:r w:rsidRPr="00295E60">
        <w:rPr>
          <w:rFonts w:ascii="微软雅黑" w:eastAsia="微软雅黑" w:hAnsi="微软雅黑" w:cs="宋体"/>
          <w:b/>
          <w:bCs/>
          <w:szCs w:val="28"/>
        </w:rPr>
        <w:t>检测结果处理办法</w:t>
      </w:r>
      <w:r w:rsidRPr="00295E60">
        <w:rPr>
          <w:rFonts w:ascii="微软雅黑" w:eastAsia="微软雅黑" w:hAnsi="微软雅黑" w:cs="宋体" w:hint="eastAsia"/>
          <w:b/>
          <w:bCs/>
          <w:szCs w:val="28"/>
        </w:rPr>
        <w:t>》</w:t>
      </w:r>
      <w:bookmarkEnd w:id="0"/>
    </w:p>
    <w:p w14:paraId="7996E28C" w14:textId="77777777" w:rsidR="00E14FFC" w:rsidRPr="00295E60" w:rsidRDefault="00E14FFC" w:rsidP="00E14FFC">
      <w:pPr>
        <w:spacing w:line="460" w:lineRule="exact"/>
        <w:ind w:firstLine="480"/>
        <w:rPr>
          <w:rFonts w:ascii="微软雅黑" w:eastAsia="微软雅黑" w:hAnsi="微软雅黑" w:cs="宋体"/>
          <w:sz w:val="24"/>
        </w:rPr>
      </w:pPr>
      <w:r w:rsidRPr="00295E60">
        <w:rPr>
          <w:rFonts w:ascii="微软雅黑" w:eastAsia="微软雅黑" w:hAnsi="微软雅黑" w:cs="宋体" w:hint="eastAsia"/>
          <w:sz w:val="24"/>
        </w:rPr>
        <w:t>为进一步加强学风建设，提高学位论文质量，保障我校学位授予工作有序开展，根据教育部《学位论文作假行为处理办法》及学校相关制度，结合第三届专业学位</w:t>
      </w:r>
      <w:proofErr w:type="gramStart"/>
      <w:r w:rsidRPr="00295E60">
        <w:rPr>
          <w:rFonts w:ascii="微软雅黑" w:eastAsia="微软雅黑" w:hAnsi="微软雅黑" w:cs="宋体" w:hint="eastAsia"/>
          <w:sz w:val="24"/>
        </w:rPr>
        <w:t>评定分</w:t>
      </w:r>
      <w:proofErr w:type="gramEnd"/>
      <w:r w:rsidRPr="00295E60">
        <w:rPr>
          <w:rFonts w:ascii="微软雅黑" w:eastAsia="微软雅黑" w:hAnsi="微软雅黑" w:cs="宋体" w:hint="eastAsia"/>
          <w:sz w:val="24"/>
        </w:rPr>
        <w:t>委员会第一次会议决议内容，特制定《华东师范大学硕士专业学位论文复制比检测结果处理办法》。规定如下：</w:t>
      </w:r>
    </w:p>
    <w:p w14:paraId="2C7E0960" w14:textId="77777777" w:rsidR="00E14FFC" w:rsidRPr="00295E60" w:rsidRDefault="00E14FFC" w:rsidP="00E14FFC">
      <w:pPr>
        <w:spacing w:line="460" w:lineRule="exact"/>
        <w:ind w:firstLine="562"/>
        <w:outlineLvl w:val="1"/>
        <w:rPr>
          <w:rFonts w:ascii="微软雅黑" w:eastAsia="微软雅黑" w:hAnsi="微软雅黑" w:cs="宋体"/>
          <w:sz w:val="24"/>
        </w:rPr>
      </w:pPr>
      <w:r w:rsidRPr="00295E60">
        <w:rPr>
          <w:rFonts w:ascii="微软雅黑" w:eastAsia="微软雅黑" w:hAnsi="微软雅黑" w:cs="宋体" w:hint="eastAsia"/>
          <w:b/>
        </w:rPr>
        <w:t>一、检测对象</w:t>
      </w:r>
    </w:p>
    <w:p w14:paraId="7A3A6CBB" w14:textId="77777777" w:rsidR="00E14FFC" w:rsidRPr="00295E60" w:rsidRDefault="00E14FFC" w:rsidP="00E14FFC">
      <w:pPr>
        <w:spacing w:line="460" w:lineRule="exact"/>
        <w:ind w:firstLine="480"/>
        <w:rPr>
          <w:rFonts w:ascii="微软雅黑" w:eastAsia="微软雅黑" w:hAnsi="微软雅黑" w:cs="宋体"/>
          <w:sz w:val="24"/>
        </w:rPr>
      </w:pPr>
      <w:r w:rsidRPr="00295E60">
        <w:rPr>
          <w:rFonts w:ascii="微软雅黑" w:eastAsia="微软雅黑" w:hAnsi="微软雅黑" w:cs="宋体" w:hint="eastAsia"/>
          <w:sz w:val="24"/>
        </w:rPr>
        <w:t>所有拟提交论文答辩的硕士专业学位论文。</w:t>
      </w:r>
    </w:p>
    <w:p w14:paraId="2E6A3F5D" w14:textId="77777777" w:rsidR="00E14FFC" w:rsidRPr="00295E60" w:rsidRDefault="00E14FFC" w:rsidP="00E14FFC">
      <w:pPr>
        <w:spacing w:line="460" w:lineRule="exact"/>
        <w:ind w:firstLine="480"/>
        <w:rPr>
          <w:rFonts w:ascii="微软雅黑" w:eastAsia="微软雅黑" w:hAnsi="微软雅黑" w:cs="宋体"/>
          <w:sz w:val="24"/>
        </w:rPr>
      </w:pPr>
    </w:p>
    <w:p w14:paraId="3D0DAF52" w14:textId="77777777" w:rsidR="00E14FFC" w:rsidRPr="00295E60" w:rsidRDefault="00E14FFC" w:rsidP="00E14FFC">
      <w:pPr>
        <w:spacing w:line="460" w:lineRule="exact"/>
        <w:ind w:firstLine="562"/>
        <w:outlineLvl w:val="1"/>
        <w:rPr>
          <w:rFonts w:ascii="微软雅黑" w:eastAsia="微软雅黑" w:hAnsi="微软雅黑" w:cs="宋体"/>
          <w:b/>
        </w:rPr>
      </w:pPr>
      <w:r w:rsidRPr="00295E60">
        <w:rPr>
          <w:rFonts w:ascii="微软雅黑" w:eastAsia="微软雅黑" w:hAnsi="微软雅黑" w:cs="宋体" w:hint="eastAsia"/>
          <w:b/>
        </w:rPr>
        <w:t>二、论文提交与检测</w:t>
      </w:r>
    </w:p>
    <w:p w14:paraId="510BC324" w14:textId="77777777" w:rsidR="00E14FFC" w:rsidRPr="00295E60" w:rsidRDefault="00E14FFC" w:rsidP="00E14FFC">
      <w:pPr>
        <w:spacing w:line="460" w:lineRule="exact"/>
        <w:ind w:firstLine="480"/>
        <w:rPr>
          <w:rFonts w:ascii="微软雅黑" w:eastAsia="微软雅黑" w:hAnsi="微软雅黑" w:cs="宋体"/>
          <w:sz w:val="24"/>
        </w:rPr>
      </w:pPr>
      <w:r w:rsidRPr="00295E60">
        <w:rPr>
          <w:rFonts w:ascii="微软雅黑" w:eastAsia="微软雅黑" w:hAnsi="微软雅黑" w:cs="宋体" w:hint="eastAsia"/>
          <w:sz w:val="24"/>
        </w:rPr>
        <w:t>检测工作由各专业学位中心具体实施:教育专业学位管理中心、艺术硕士管理中心和国际教师教育中心分别负责对教育硕士、艺术硕士、发展中国家教育硕士的学位论文进行检测；经济</w:t>
      </w:r>
      <w:r w:rsidRPr="00295E60">
        <w:rPr>
          <w:rFonts w:ascii="微软雅黑" w:eastAsia="微软雅黑" w:hAnsi="微软雅黑" w:cs="宋体"/>
          <w:sz w:val="24"/>
        </w:rPr>
        <w:t>与管理学部专业学位教育</w:t>
      </w:r>
      <w:r w:rsidRPr="00295E60">
        <w:rPr>
          <w:rFonts w:ascii="微软雅黑" w:eastAsia="微软雅黑" w:hAnsi="微软雅黑" w:cs="宋体" w:hint="eastAsia"/>
          <w:sz w:val="24"/>
        </w:rPr>
        <w:t>中心负责对金融、应用统计、国际商务、保险、工商管理、公共管理、图书情报等类别的学位论文检测；其他专业学位类别的学位论文由各专业学位研究生培养单位（院、系、基地等）的专业学位教育中心负责检测。</w:t>
      </w:r>
    </w:p>
    <w:p w14:paraId="4B4A1A90" w14:textId="77777777" w:rsidR="00E14FFC" w:rsidRPr="00295E60" w:rsidRDefault="00E14FFC" w:rsidP="00E14FFC">
      <w:pPr>
        <w:spacing w:line="460" w:lineRule="exact"/>
        <w:ind w:firstLine="480"/>
        <w:rPr>
          <w:rFonts w:ascii="微软雅黑" w:eastAsia="微软雅黑" w:hAnsi="微软雅黑" w:cs="宋体"/>
          <w:sz w:val="24"/>
        </w:rPr>
      </w:pPr>
      <w:r w:rsidRPr="00295E60">
        <w:rPr>
          <w:rFonts w:ascii="微软雅黑" w:eastAsia="微软雅黑" w:hAnsi="微软雅黑" w:cs="宋体"/>
          <w:sz w:val="24"/>
        </w:rPr>
        <w:t>学位办公室通过检测系统对各中心检测情况进行监督管理。</w:t>
      </w:r>
    </w:p>
    <w:p w14:paraId="74E9E206" w14:textId="77777777" w:rsidR="00E14FFC" w:rsidRPr="00295E60" w:rsidRDefault="00E14FFC" w:rsidP="00E14FFC">
      <w:pPr>
        <w:spacing w:line="460" w:lineRule="exact"/>
        <w:ind w:firstLine="480"/>
        <w:rPr>
          <w:rFonts w:ascii="微软雅黑" w:eastAsia="微软雅黑" w:hAnsi="微软雅黑" w:cs="宋体"/>
          <w:sz w:val="24"/>
        </w:rPr>
      </w:pPr>
      <w:r w:rsidRPr="00295E60">
        <w:rPr>
          <w:rFonts w:ascii="微软雅黑" w:eastAsia="微软雅黑" w:hAnsi="微软雅黑" w:cs="宋体" w:hint="eastAsia"/>
          <w:sz w:val="24"/>
        </w:rPr>
        <w:t>提交检测的论文应为导师审定的学位论文定稿电子版（word或pdf版），内容一般应从内</w:t>
      </w:r>
      <w:proofErr w:type="gramStart"/>
      <w:r w:rsidRPr="00295E60">
        <w:rPr>
          <w:rFonts w:ascii="微软雅黑" w:eastAsia="微软雅黑" w:hAnsi="微软雅黑" w:cs="宋体" w:hint="eastAsia"/>
          <w:sz w:val="24"/>
        </w:rPr>
        <w:t>封面页至附录</w:t>
      </w:r>
      <w:proofErr w:type="gramEnd"/>
      <w:r w:rsidRPr="00295E60">
        <w:rPr>
          <w:rFonts w:ascii="微软雅黑" w:eastAsia="微软雅黑" w:hAnsi="微软雅黑" w:cs="宋体" w:hint="eastAsia"/>
          <w:sz w:val="24"/>
        </w:rPr>
        <w:t>页。 提交检测的学位论文命名方式为"姓名_学号_院系所_</w:t>
      </w:r>
      <w:proofErr w:type="gramStart"/>
      <w:r w:rsidRPr="00295E60">
        <w:rPr>
          <w:rFonts w:ascii="微软雅黑" w:eastAsia="微软雅黑" w:hAnsi="微软雅黑" w:cs="宋体" w:hint="eastAsia"/>
          <w:sz w:val="24"/>
        </w:rPr>
        <w:t>专硕</w:t>
      </w:r>
      <w:proofErr w:type="gramEnd"/>
      <w:r w:rsidRPr="00295E60">
        <w:rPr>
          <w:rFonts w:ascii="微软雅黑" w:eastAsia="微软雅黑" w:hAnsi="微软雅黑" w:cs="宋体" w:hint="eastAsia"/>
          <w:sz w:val="24"/>
        </w:rPr>
        <w:t>"。</w:t>
      </w:r>
    </w:p>
    <w:p w14:paraId="4B90E69B" w14:textId="77777777" w:rsidR="00E14FFC" w:rsidRPr="00295E60" w:rsidRDefault="00E14FFC" w:rsidP="00E14FFC">
      <w:pPr>
        <w:spacing w:line="460" w:lineRule="exact"/>
        <w:ind w:firstLine="480"/>
        <w:rPr>
          <w:rFonts w:ascii="微软雅黑" w:eastAsia="微软雅黑" w:hAnsi="微软雅黑" w:cs="宋体"/>
          <w:sz w:val="24"/>
        </w:rPr>
      </w:pPr>
      <w:r w:rsidRPr="00295E60">
        <w:rPr>
          <w:rFonts w:ascii="微软雅黑" w:eastAsia="微软雅黑" w:hAnsi="微软雅黑" w:cs="宋体" w:hint="eastAsia"/>
          <w:sz w:val="24"/>
        </w:rPr>
        <w:t>一般情况下，申请人应在通过论文答辩资格审核后至论文答辩前两周，将电子版学位论文规范命名后提交给本培养单位研究生工作秘书。如抽中校/市两</w:t>
      </w:r>
      <w:proofErr w:type="gramStart"/>
      <w:r w:rsidRPr="00295E60">
        <w:rPr>
          <w:rFonts w:ascii="微软雅黑" w:eastAsia="微软雅黑" w:hAnsi="微软雅黑" w:cs="宋体" w:hint="eastAsia"/>
          <w:sz w:val="24"/>
        </w:rPr>
        <w:t>级盲审</w:t>
      </w:r>
      <w:proofErr w:type="gramEnd"/>
      <w:r w:rsidRPr="00295E60">
        <w:rPr>
          <w:rFonts w:ascii="微软雅黑" w:eastAsia="微软雅黑" w:hAnsi="微软雅黑" w:cs="宋体" w:hint="eastAsia"/>
          <w:sz w:val="24"/>
        </w:rPr>
        <w:t>，则必须在论文盲审送审前完成检测工作。</w:t>
      </w:r>
    </w:p>
    <w:p w14:paraId="10EBADD7" w14:textId="77777777" w:rsidR="00E14FFC" w:rsidRPr="00295E60" w:rsidRDefault="00E14FFC" w:rsidP="00E14FFC">
      <w:pPr>
        <w:spacing w:line="460" w:lineRule="exact"/>
        <w:ind w:firstLine="480"/>
        <w:rPr>
          <w:rFonts w:ascii="微软雅黑" w:eastAsia="微软雅黑" w:hAnsi="微软雅黑" w:cs="宋体"/>
          <w:sz w:val="24"/>
        </w:rPr>
      </w:pPr>
      <w:r w:rsidRPr="00295E60">
        <w:rPr>
          <w:rFonts w:ascii="微软雅黑" w:eastAsia="微软雅黑" w:hAnsi="微软雅黑" w:cs="宋体" w:hint="eastAsia"/>
          <w:sz w:val="24"/>
        </w:rPr>
        <w:t>为保证检测工作严肃有序、公平公正的开展，检测论文一经提交，任何申请人不得以“版本错误”等理由要求再次提交、再次检测等。</w:t>
      </w:r>
    </w:p>
    <w:p w14:paraId="3C78C94D" w14:textId="77777777" w:rsidR="00E14FFC" w:rsidRPr="00295E60" w:rsidRDefault="00E14FFC" w:rsidP="00E14FFC">
      <w:pPr>
        <w:spacing w:afterLines="50" w:after="156" w:line="460" w:lineRule="exact"/>
        <w:ind w:firstLine="482"/>
        <w:rPr>
          <w:rFonts w:ascii="微软雅黑" w:eastAsia="微软雅黑" w:hAnsi="微软雅黑" w:cs="宋体"/>
          <w:b/>
        </w:rPr>
      </w:pPr>
    </w:p>
    <w:p w14:paraId="00CF71A8" w14:textId="77777777" w:rsidR="00E14FFC" w:rsidRPr="00295E60" w:rsidRDefault="00E14FFC" w:rsidP="00E14FFC">
      <w:pPr>
        <w:spacing w:line="460" w:lineRule="exact"/>
        <w:ind w:firstLine="562"/>
        <w:outlineLvl w:val="1"/>
        <w:rPr>
          <w:rFonts w:ascii="微软雅黑" w:eastAsia="微软雅黑" w:hAnsi="微软雅黑" w:cs="宋体"/>
          <w:sz w:val="24"/>
        </w:rPr>
      </w:pPr>
      <w:r w:rsidRPr="00295E60">
        <w:rPr>
          <w:rFonts w:ascii="微软雅黑" w:eastAsia="微软雅黑" w:hAnsi="微软雅黑" w:cs="宋体" w:hint="eastAsia"/>
          <w:b/>
        </w:rPr>
        <w:t>三、检测结果与处理方案</w:t>
      </w:r>
    </w:p>
    <w:p w14:paraId="3147F5FA" w14:textId="77777777" w:rsidR="00E14FFC" w:rsidRPr="00295E60" w:rsidRDefault="00E14FFC" w:rsidP="00E14FFC">
      <w:pPr>
        <w:spacing w:afterLines="50" w:after="156" w:line="460" w:lineRule="exact"/>
        <w:ind w:firstLine="482"/>
        <w:rPr>
          <w:rFonts w:ascii="微软雅黑" w:eastAsia="微软雅黑" w:hAnsi="微软雅黑" w:cs="宋体"/>
          <w:sz w:val="24"/>
        </w:rPr>
      </w:pPr>
      <w:r w:rsidRPr="00295E60">
        <w:rPr>
          <w:rFonts w:ascii="微软雅黑" w:eastAsia="微软雅黑" w:hAnsi="微软雅黑" w:cs="宋体" w:hint="eastAsia"/>
          <w:sz w:val="24"/>
        </w:rPr>
        <w:t>硕士专业学位论文“复制比检测”的认定结果将由“去除引用后复制比”、“去除本人后复制比”与“总复制比”（以下分别简称“去引”、“去本”和“总复制比”）三个</w:t>
      </w:r>
      <w:proofErr w:type="gramStart"/>
      <w:r w:rsidRPr="00295E60">
        <w:rPr>
          <w:rFonts w:ascii="微软雅黑" w:eastAsia="微软雅黑" w:hAnsi="微软雅黑" w:cs="宋体" w:hint="eastAsia"/>
          <w:sz w:val="24"/>
        </w:rPr>
        <w:t>值共同</w:t>
      </w:r>
      <w:proofErr w:type="gramEnd"/>
      <w:r w:rsidRPr="00295E60">
        <w:rPr>
          <w:rFonts w:ascii="微软雅黑" w:eastAsia="微软雅黑" w:hAnsi="微软雅黑" w:cs="宋体" w:hint="eastAsia"/>
          <w:sz w:val="24"/>
        </w:rPr>
        <w:t>决定。即:“去引”和“去本”中取较低的一个值，同时再结合“总复制比”进行判定。具体处理方案详见下表：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642"/>
        <w:gridCol w:w="1544"/>
        <w:gridCol w:w="4420"/>
      </w:tblGrid>
      <w:tr w:rsidR="00E14FFC" w:rsidRPr="00295E60" w14:paraId="36F55EC0" w14:textId="77777777" w:rsidTr="003959A9">
        <w:trPr>
          <w:trHeight w:val="876"/>
          <w:jc w:val="center"/>
        </w:trPr>
        <w:tc>
          <w:tcPr>
            <w:tcW w:w="700" w:type="dxa"/>
          </w:tcPr>
          <w:p w14:paraId="30B43749" w14:textId="77777777" w:rsidR="00E14FFC" w:rsidRPr="00295E60" w:rsidRDefault="00E14FFC" w:rsidP="003959A9">
            <w:pPr>
              <w:spacing w:afterLines="50" w:after="156" w:line="460" w:lineRule="exact"/>
              <w:jc w:val="center"/>
              <w:rPr>
                <w:rFonts w:ascii="微软雅黑" w:eastAsia="微软雅黑" w:hAnsi="微软雅黑" w:cs="宋体"/>
                <w:b/>
                <w:szCs w:val="21"/>
              </w:rPr>
            </w:pPr>
            <w:r w:rsidRPr="00295E60">
              <w:rPr>
                <w:rFonts w:ascii="微软雅黑" w:eastAsia="微软雅黑" w:hAnsi="微软雅黑" w:cs="宋体" w:hint="eastAsia"/>
                <w:b/>
                <w:szCs w:val="21"/>
              </w:rPr>
              <w:lastRenderedPageBreak/>
              <w:t>情况</w:t>
            </w:r>
          </w:p>
        </w:tc>
        <w:tc>
          <w:tcPr>
            <w:tcW w:w="1676" w:type="dxa"/>
            <w:vAlign w:val="center"/>
          </w:tcPr>
          <w:p w14:paraId="0CB9CB18" w14:textId="77777777" w:rsidR="00E14FFC" w:rsidRPr="00295E60" w:rsidRDefault="00E14FFC" w:rsidP="003959A9">
            <w:pPr>
              <w:spacing w:line="360" w:lineRule="exact"/>
              <w:jc w:val="center"/>
              <w:rPr>
                <w:rFonts w:ascii="微软雅黑" w:eastAsia="微软雅黑" w:hAnsi="微软雅黑" w:cs="宋体"/>
                <w:b/>
                <w:szCs w:val="21"/>
              </w:rPr>
            </w:pPr>
            <w:r w:rsidRPr="00295E60">
              <w:rPr>
                <w:rFonts w:ascii="微软雅黑" w:eastAsia="微软雅黑" w:hAnsi="微软雅黑" w:cs="宋体" w:hint="eastAsia"/>
                <w:b/>
                <w:szCs w:val="21"/>
              </w:rPr>
              <w:t>“去引”/</w:t>
            </w:r>
          </w:p>
          <w:p w14:paraId="4EB11233" w14:textId="77777777" w:rsidR="00E14FFC" w:rsidRPr="00295E60" w:rsidRDefault="00E14FFC" w:rsidP="003959A9">
            <w:pPr>
              <w:spacing w:line="360" w:lineRule="exact"/>
              <w:jc w:val="center"/>
              <w:rPr>
                <w:rFonts w:ascii="微软雅黑" w:eastAsia="微软雅黑" w:hAnsi="微软雅黑" w:cs="宋体"/>
                <w:b/>
                <w:szCs w:val="21"/>
              </w:rPr>
            </w:pPr>
            <w:r w:rsidRPr="00295E60">
              <w:rPr>
                <w:rFonts w:ascii="微软雅黑" w:eastAsia="微软雅黑" w:hAnsi="微软雅黑" w:cs="宋体" w:hint="eastAsia"/>
                <w:b/>
                <w:szCs w:val="21"/>
              </w:rPr>
              <w:t>“去本”</w:t>
            </w:r>
          </w:p>
        </w:tc>
        <w:tc>
          <w:tcPr>
            <w:tcW w:w="1574" w:type="dxa"/>
            <w:vAlign w:val="center"/>
          </w:tcPr>
          <w:p w14:paraId="7A1412BE" w14:textId="77777777" w:rsidR="00E14FFC" w:rsidRPr="00295E60" w:rsidRDefault="00E14FFC" w:rsidP="003959A9">
            <w:pPr>
              <w:spacing w:line="360" w:lineRule="exact"/>
              <w:jc w:val="center"/>
              <w:rPr>
                <w:rFonts w:ascii="微软雅黑" w:eastAsia="微软雅黑" w:hAnsi="微软雅黑" w:cs="宋体"/>
                <w:b/>
                <w:szCs w:val="21"/>
              </w:rPr>
            </w:pPr>
            <w:r w:rsidRPr="00295E60">
              <w:rPr>
                <w:rFonts w:ascii="微软雅黑" w:eastAsia="微软雅黑" w:hAnsi="微软雅黑" w:cs="宋体" w:hint="eastAsia"/>
                <w:b/>
                <w:szCs w:val="21"/>
              </w:rPr>
              <w:t>“总复制比”</w:t>
            </w:r>
          </w:p>
        </w:tc>
        <w:tc>
          <w:tcPr>
            <w:tcW w:w="4572" w:type="dxa"/>
            <w:vAlign w:val="center"/>
          </w:tcPr>
          <w:p w14:paraId="6F1FEDDE" w14:textId="77777777" w:rsidR="00E14FFC" w:rsidRPr="00295E60" w:rsidRDefault="00E14FFC" w:rsidP="003959A9">
            <w:pPr>
              <w:spacing w:afterLines="50" w:after="156" w:line="460" w:lineRule="exact"/>
              <w:jc w:val="center"/>
              <w:rPr>
                <w:rFonts w:ascii="微软雅黑" w:eastAsia="微软雅黑" w:hAnsi="微软雅黑" w:cs="宋体"/>
                <w:b/>
                <w:szCs w:val="21"/>
              </w:rPr>
            </w:pPr>
            <w:r w:rsidRPr="00295E60">
              <w:rPr>
                <w:rFonts w:ascii="微软雅黑" w:eastAsia="微软雅黑" w:hAnsi="微软雅黑" w:cs="宋体" w:hint="eastAsia"/>
                <w:b/>
                <w:szCs w:val="21"/>
              </w:rPr>
              <w:t>处理意见</w:t>
            </w:r>
          </w:p>
        </w:tc>
      </w:tr>
      <w:tr w:rsidR="00E14FFC" w:rsidRPr="00295E60" w14:paraId="5B94BDDA" w14:textId="77777777" w:rsidTr="003959A9">
        <w:trPr>
          <w:trHeight w:val="658"/>
          <w:jc w:val="center"/>
        </w:trPr>
        <w:tc>
          <w:tcPr>
            <w:tcW w:w="700" w:type="dxa"/>
            <w:vAlign w:val="center"/>
          </w:tcPr>
          <w:p w14:paraId="7E40C463"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1</w:t>
            </w:r>
          </w:p>
        </w:tc>
        <w:tc>
          <w:tcPr>
            <w:tcW w:w="1676" w:type="dxa"/>
            <w:vAlign w:val="center"/>
          </w:tcPr>
          <w:p w14:paraId="15BB0599"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低于10%</w:t>
            </w:r>
          </w:p>
        </w:tc>
        <w:tc>
          <w:tcPr>
            <w:tcW w:w="1574" w:type="dxa"/>
            <w:vAlign w:val="center"/>
          </w:tcPr>
          <w:p w14:paraId="42D28D55"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低于20%</w:t>
            </w:r>
          </w:p>
        </w:tc>
        <w:tc>
          <w:tcPr>
            <w:tcW w:w="4572" w:type="dxa"/>
          </w:tcPr>
          <w:p w14:paraId="2284CC0C" w14:textId="77777777" w:rsidR="00E14FFC" w:rsidRPr="00295E60" w:rsidRDefault="00E14FFC" w:rsidP="003959A9">
            <w:pPr>
              <w:spacing w:line="320" w:lineRule="exact"/>
              <w:rPr>
                <w:rFonts w:ascii="微软雅黑" w:eastAsia="微软雅黑" w:hAnsi="微软雅黑" w:cs="宋体"/>
                <w:sz w:val="20"/>
                <w:szCs w:val="20"/>
              </w:rPr>
            </w:pPr>
            <w:r w:rsidRPr="00295E60">
              <w:rPr>
                <w:rFonts w:ascii="微软雅黑" w:eastAsia="微软雅黑" w:hAnsi="微软雅黑" w:cs="宋体" w:hint="eastAsia"/>
                <w:sz w:val="20"/>
                <w:szCs w:val="20"/>
              </w:rPr>
              <w:t>论文作者参照检测报告单开展自查并进一步规范论文；论文</w:t>
            </w:r>
            <w:r w:rsidRPr="00295E60">
              <w:rPr>
                <w:rFonts w:ascii="微软雅黑" w:eastAsia="微软雅黑" w:hAnsi="微软雅黑" w:cs="宋体" w:hint="eastAsia"/>
                <w:b/>
                <w:sz w:val="20"/>
                <w:szCs w:val="20"/>
              </w:rPr>
              <w:t>经导师审核同意后</w:t>
            </w:r>
            <w:r w:rsidRPr="00295E60">
              <w:rPr>
                <w:rFonts w:ascii="微软雅黑" w:eastAsia="微软雅黑" w:hAnsi="微软雅黑" w:cs="宋体" w:hint="eastAsia"/>
                <w:sz w:val="20"/>
                <w:szCs w:val="20"/>
              </w:rPr>
              <w:t>可提交答辩</w:t>
            </w:r>
          </w:p>
        </w:tc>
      </w:tr>
      <w:tr w:rsidR="00E14FFC" w:rsidRPr="00295E60" w14:paraId="5D795368" w14:textId="77777777" w:rsidTr="00395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5"/>
          <w:jc w:val="center"/>
        </w:trPr>
        <w:tc>
          <w:tcPr>
            <w:tcW w:w="700" w:type="dxa"/>
            <w:tcBorders>
              <w:top w:val="single" w:sz="4" w:space="0" w:color="auto"/>
              <w:left w:val="single" w:sz="4" w:space="0" w:color="auto"/>
              <w:bottom w:val="single" w:sz="4" w:space="0" w:color="auto"/>
              <w:right w:val="single" w:sz="4" w:space="0" w:color="auto"/>
            </w:tcBorders>
            <w:vAlign w:val="center"/>
          </w:tcPr>
          <w:p w14:paraId="744437B2"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2</w:t>
            </w:r>
          </w:p>
        </w:tc>
        <w:tc>
          <w:tcPr>
            <w:tcW w:w="1676" w:type="dxa"/>
            <w:tcBorders>
              <w:top w:val="single" w:sz="4" w:space="0" w:color="auto"/>
              <w:left w:val="single" w:sz="4" w:space="0" w:color="auto"/>
              <w:bottom w:val="single" w:sz="4" w:space="0" w:color="auto"/>
              <w:right w:val="single" w:sz="4" w:space="0" w:color="auto"/>
            </w:tcBorders>
            <w:vAlign w:val="center"/>
          </w:tcPr>
          <w:p w14:paraId="7819B041"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10%-19.9%</w:t>
            </w:r>
          </w:p>
        </w:tc>
        <w:tc>
          <w:tcPr>
            <w:tcW w:w="1574" w:type="dxa"/>
            <w:tcBorders>
              <w:top w:val="single" w:sz="4" w:space="0" w:color="auto"/>
              <w:left w:val="single" w:sz="4" w:space="0" w:color="auto"/>
              <w:bottom w:val="single" w:sz="4" w:space="0" w:color="auto"/>
              <w:right w:val="single" w:sz="4" w:space="0" w:color="auto"/>
            </w:tcBorders>
            <w:vAlign w:val="center"/>
          </w:tcPr>
          <w:p w14:paraId="0C8BB2EA"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20%-24.9%</w:t>
            </w:r>
          </w:p>
        </w:tc>
        <w:tc>
          <w:tcPr>
            <w:tcW w:w="4572" w:type="dxa"/>
            <w:tcBorders>
              <w:top w:val="single" w:sz="4" w:space="0" w:color="auto"/>
              <w:left w:val="single" w:sz="4" w:space="0" w:color="auto"/>
              <w:bottom w:val="single" w:sz="4" w:space="0" w:color="auto"/>
              <w:right w:val="single" w:sz="4" w:space="0" w:color="auto"/>
            </w:tcBorders>
          </w:tcPr>
          <w:p w14:paraId="665B73E0" w14:textId="77777777" w:rsidR="00E14FFC" w:rsidRPr="00295E60" w:rsidRDefault="00E14FFC" w:rsidP="003959A9">
            <w:pPr>
              <w:spacing w:line="320" w:lineRule="exact"/>
              <w:rPr>
                <w:rFonts w:ascii="微软雅黑" w:eastAsia="微软雅黑" w:hAnsi="微软雅黑" w:cs="宋体"/>
                <w:sz w:val="20"/>
                <w:szCs w:val="20"/>
              </w:rPr>
            </w:pPr>
            <w:r w:rsidRPr="00295E60">
              <w:rPr>
                <w:rFonts w:ascii="微软雅黑" w:eastAsia="微软雅黑" w:hAnsi="微软雅黑" w:cs="宋体" w:hint="eastAsia"/>
                <w:sz w:val="20"/>
                <w:szCs w:val="20"/>
              </w:rPr>
              <w:t>由培养单位决定组织专家或提交学部专业学位评定委员会/专业学位评定小组对论文进行复核。确认重合文字系学术不端，不能进入答辩程序；确认虽属于学术不端行为，但经修改后能达到合格学位论文要求者，须至少修改</w:t>
            </w:r>
            <w:r w:rsidRPr="00295E60">
              <w:rPr>
                <w:rFonts w:ascii="微软雅黑" w:eastAsia="微软雅黑" w:hAnsi="微软雅黑" w:cs="宋体" w:hint="eastAsia"/>
                <w:b/>
                <w:sz w:val="20"/>
                <w:szCs w:val="20"/>
              </w:rPr>
              <w:t>三个月</w:t>
            </w:r>
            <w:r w:rsidRPr="00295E60">
              <w:rPr>
                <w:rFonts w:ascii="微软雅黑" w:eastAsia="微软雅黑" w:hAnsi="微软雅黑" w:cs="宋体" w:hint="eastAsia"/>
                <w:sz w:val="20"/>
                <w:szCs w:val="20"/>
              </w:rPr>
              <w:t>后方能进入答辩程序。</w:t>
            </w:r>
          </w:p>
        </w:tc>
      </w:tr>
      <w:tr w:rsidR="00E14FFC" w:rsidRPr="00295E60" w14:paraId="48C79D7A" w14:textId="77777777" w:rsidTr="003959A9">
        <w:trPr>
          <w:jc w:val="center"/>
        </w:trPr>
        <w:tc>
          <w:tcPr>
            <w:tcW w:w="700" w:type="dxa"/>
            <w:vAlign w:val="center"/>
          </w:tcPr>
          <w:p w14:paraId="1281A05D"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3</w:t>
            </w:r>
          </w:p>
        </w:tc>
        <w:tc>
          <w:tcPr>
            <w:tcW w:w="1676" w:type="dxa"/>
            <w:vAlign w:val="center"/>
          </w:tcPr>
          <w:p w14:paraId="11F1D2A0"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20%-39.9%</w:t>
            </w:r>
          </w:p>
        </w:tc>
        <w:tc>
          <w:tcPr>
            <w:tcW w:w="1574" w:type="dxa"/>
            <w:vAlign w:val="center"/>
          </w:tcPr>
          <w:p w14:paraId="0529F881"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25%-39.9%</w:t>
            </w:r>
          </w:p>
        </w:tc>
        <w:tc>
          <w:tcPr>
            <w:tcW w:w="4572" w:type="dxa"/>
          </w:tcPr>
          <w:p w14:paraId="362F1F11" w14:textId="77777777" w:rsidR="00E14FFC" w:rsidRPr="00295E60" w:rsidRDefault="00E14FFC" w:rsidP="003959A9">
            <w:pPr>
              <w:spacing w:line="320" w:lineRule="exact"/>
              <w:rPr>
                <w:rFonts w:ascii="微软雅黑" w:eastAsia="微软雅黑" w:hAnsi="微软雅黑" w:cs="宋体"/>
                <w:sz w:val="20"/>
                <w:szCs w:val="20"/>
              </w:rPr>
            </w:pPr>
            <w:r w:rsidRPr="00295E60">
              <w:rPr>
                <w:rFonts w:ascii="微软雅黑" w:eastAsia="微软雅黑" w:hAnsi="微软雅黑" w:cs="宋体" w:hint="eastAsia"/>
                <w:sz w:val="20"/>
                <w:szCs w:val="20"/>
              </w:rPr>
              <w:t>论文作者端正学位论文写作态度，重新学习学位论文写作规范，并对论文进行至少</w:t>
            </w:r>
            <w:r w:rsidRPr="00295E60">
              <w:rPr>
                <w:rFonts w:ascii="微软雅黑" w:eastAsia="微软雅黑" w:hAnsi="微软雅黑" w:cs="宋体" w:hint="eastAsia"/>
                <w:b/>
                <w:sz w:val="20"/>
                <w:szCs w:val="20"/>
              </w:rPr>
              <w:t>一个学期</w:t>
            </w:r>
            <w:r w:rsidRPr="00295E60">
              <w:rPr>
                <w:rFonts w:ascii="微软雅黑" w:eastAsia="微软雅黑" w:hAnsi="微软雅黑" w:cs="宋体" w:hint="eastAsia"/>
                <w:sz w:val="20"/>
                <w:szCs w:val="20"/>
              </w:rPr>
              <w:t>的调整和修改；修改完成并经导师审核同意后再进入答辩程序</w:t>
            </w:r>
          </w:p>
        </w:tc>
      </w:tr>
      <w:tr w:rsidR="00E14FFC" w:rsidRPr="00295E60" w14:paraId="66145823" w14:textId="77777777" w:rsidTr="003959A9">
        <w:trPr>
          <w:trHeight w:val="596"/>
          <w:jc w:val="center"/>
        </w:trPr>
        <w:tc>
          <w:tcPr>
            <w:tcW w:w="700" w:type="dxa"/>
            <w:vAlign w:val="center"/>
          </w:tcPr>
          <w:p w14:paraId="2CF1240B"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4</w:t>
            </w:r>
          </w:p>
        </w:tc>
        <w:tc>
          <w:tcPr>
            <w:tcW w:w="3250" w:type="dxa"/>
            <w:gridSpan w:val="2"/>
            <w:vAlign w:val="center"/>
          </w:tcPr>
          <w:p w14:paraId="3A0081DA"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任</w:t>
            </w:r>
            <w:proofErr w:type="gramStart"/>
            <w:r w:rsidRPr="00295E60">
              <w:rPr>
                <w:rFonts w:ascii="微软雅黑" w:eastAsia="微软雅黑" w:hAnsi="微软雅黑" w:cs="宋体" w:hint="eastAsia"/>
                <w:sz w:val="20"/>
                <w:szCs w:val="20"/>
              </w:rPr>
              <w:t>一</w:t>
            </w:r>
            <w:proofErr w:type="gramEnd"/>
            <w:r w:rsidRPr="00295E60">
              <w:rPr>
                <w:rFonts w:ascii="微软雅黑" w:eastAsia="微软雅黑" w:hAnsi="微软雅黑" w:cs="宋体" w:hint="eastAsia"/>
                <w:sz w:val="20"/>
                <w:szCs w:val="20"/>
              </w:rPr>
              <w:t>达40%-69.9%</w:t>
            </w:r>
          </w:p>
        </w:tc>
        <w:tc>
          <w:tcPr>
            <w:tcW w:w="4572" w:type="dxa"/>
          </w:tcPr>
          <w:p w14:paraId="40826974" w14:textId="77777777" w:rsidR="00E14FFC" w:rsidRPr="00295E60" w:rsidRDefault="00E14FFC" w:rsidP="003959A9">
            <w:pPr>
              <w:spacing w:line="320" w:lineRule="exact"/>
              <w:rPr>
                <w:rFonts w:ascii="微软雅黑" w:eastAsia="微软雅黑" w:hAnsi="微软雅黑" w:cs="宋体"/>
                <w:sz w:val="20"/>
                <w:szCs w:val="20"/>
              </w:rPr>
            </w:pPr>
            <w:r w:rsidRPr="00295E60">
              <w:rPr>
                <w:rFonts w:ascii="微软雅黑" w:eastAsia="微软雅黑" w:hAnsi="微软雅黑" w:cs="宋体" w:hint="eastAsia"/>
                <w:sz w:val="20"/>
                <w:szCs w:val="20"/>
              </w:rPr>
              <w:t>重新撰写、推迟</w:t>
            </w:r>
            <w:r w:rsidRPr="00295E60">
              <w:rPr>
                <w:rFonts w:ascii="微软雅黑" w:eastAsia="微软雅黑" w:hAnsi="微软雅黑" w:cs="宋体" w:hint="eastAsia"/>
                <w:b/>
                <w:sz w:val="20"/>
                <w:szCs w:val="20"/>
              </w:rPr>
              <w:t>一年</w:t>
            </w:r>
            <w:r w:rsidRPr="00295E60">
              <w:rPr>
                <w:rFonts w:ascii="微软雅黑" w:eastAsia="微软雅黑" w:hAnsi="微软雅黑" w:cs="宋体" w:hint="eastAsia"/>
                <w:sz w:val="20"/>
                <w:szCs w:val="20"/>
              </w:rPr>
              <w:t>及以上答辩；在学校专业学位</w:t>
            </w:r>
            <w:proofErr w:type="gramStart"/>
            <w:r w:rsidRPr="00295E60">
              <w:rPr>
                <w:rFonts w:ascii="微软雅黑" w:eastAsia="微软雅黑" w:hAnsi="微软雅黑" w:cs="宋体" w:hint="eastAsia"/>
                <w:sz w:val="20"/>
                <w:szCs w:val="20"/>
              </w:rPr>
              <w:t>评定分</w:t>
            </w:r>
            <w:proofErr w:type="gramEnd"/>
            <w:r w:rsidRPr="00295E60">
              <w:rPr>
                <w:rFonts w:ascii="微软雅黑" w:eastAsia="微软雅黑" w:hAnsi="微软雅黑" w:cs="宋体" w:hint="eastAsia"/>
                <w:sz w:val="20"/>
                <w:szCs w:val="20"/>
              </w:rPr>
              <w:t>委员会及一定范围内，予以通报批评</w:t>
            </w:r>
          </w:p>
        </w:tc>
      </w:tr>
      <w:tr w:rsidR="00E14FFC" w:rsidRPr="00295E60" w14:paraId="40B93339" w14:textId="77777777" w:rsidTr="003959A9">
        <w:trPr>
          <w:trHeight w:val="1297"/>
          <w:jc w:val="center"/>
        </w:trPr>
        <w:tc>
          <w:tcPr>
            <w:tcW w:w="700" w:type="dxa"/>
            <w:vAlign w:val="center"/>
          </w:tcPr>
          <w:p w14:paraId="35861E1E"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5</w:t>
            </w:r>
          </w:p>
        </w:tc>
        <w:tc>
          <w:tcPr>
            <w:tcW w:w="3250" w:type="dxa"/>
            <w:gridSpan w:val="2"/>
            <w:vAlign w:val="center"/>
          </w:tcPr>
          <w:p w14:paraId="753E31D9" w14:textId="77777777" w:rsidR="00E14FFC" w:rsidRPr="00295E60" w:rsidRDefault="00E14FFC" w:rsidP="003959A9">
            <w:pPr>
              <w:spacing w:afterLines="50" w:after="156" w:line="460" w:lineRule="exact"/>
              <w:jc w:val="center"/>
              <w:rPr>
                <w:rFonts w:ascii="微软雅黑" w:eastAsia="微软雅黑" w:hAnsi="微软雅黑" w:cs="宋体"/>
                <w:sz w:val="20"/>
                <w:szCs w:val="20"/>
              </w:rPr>
            </w:pPr>
            <w:r w:rsidRPr="00295E60">
              <w:rPr>
                <w:rFonts w:ascii="微软雅黑" w:eastAsia="微软雅黑" w:hAnsi="微软雅黑" w:cs="宋体" w:hint="eastAsia"/>
                <w:sz w:val="20"/>
                <w:szCs w:val="20"/>
              </w:rPr>
              <w:t>任</w:t>
            </w:r>
            <w:proofErr w:type="gramStart"/>
            <w:r w:rsidRPr="00295E60">
              <w:rPr>
                <w:rFonts w:ascii="微软雅黑" w:eastAsia="微软雅黑" w:hAnsi="微软雅黑" w:cs="宋体" w:hint="eastAsia"/>
                <w:sz w:val="20"/>
                <w:szCs w:val="20"/>
              </w:rPr>
              <w:t>一</w:t>
            </w:r>
            <w:proofErr w:type="gramEnd"/>
            <w:r w:rsidRPr="00295E60">
              <w:rPr>
                <w:rFonts w:ascii="微软雅黑" w:eastAsia="微软雅黑" w:hAnsi="微软雅黑" w:cs="宋体" w:hint="eastAsia"/>
                <w:sz w:val="20"/>
                <w:szCs w:val="20"/>
              </w:rPr>
              <w:t>达70%及以上</w:t>
            </w:r>
          </w:p>
        </w:tc>
        <w:tc>
          <w:tcPr>
            <w:tcW w:w="4572" w:type="dxa"/>
          </w:tcPr>
          <w:p w14:paraId="6E0B4093" w14:textId="77777777" w:rsidR="00E14FFC" w:rsidRPr="00295E60" w:rsidRDefault="00E14FFC" w:rsidP="003959A9">
            <w:pPr>
              <w:spacing w:line="320" w:lineRule="exact"/>
              <w:rPr>
                <w:rFonts w:ascii="微软雅黑" w:eastAsia="微软雅黑" w:hAnsi="微软雅黑" w:cs="宋体"/>
                <w:sz w:val="20"/>
                <w:szCs w:val="20"/>
              </w:rPr>
            </w:pPr>
            <w:r w:rsidRPr="00295E60">
              <w:rPr>
                <w:rFonts w:ascii="微软雅黑" w:eastAsia="微软雅黑" w:hAnsi="微软雅黑" w:cs="宋体" w:hint="eastAsia"/>
                <w:sz w:val="20"/>
                <w:szCs w:val="20"/>
              </w:rPr>
              <w:t>直接取消在我校论文答辩与学位申请的资格；论文作者为全日制研究生的，做出开除学籍处分；论文作者为在职人员攻读硕士专业学位的，通报其所在工作单位</w:t>
            </w:r>
          </w:p>
        </w:tc>
      </w:tr>
    </w:tbl>
    <w:p w14:paraId="1BEEFA3C" w14:textId="77777777" w:rsidR="00E14FFC" w:rsidRPr="00295E60" w:rsidRDefault="00E14FFC" w:rsidP="00E14FFC">
      <w:pPr>
        <w:spacing w:beforeLines="50" w:before="156" w:line="460" w:lineRule="exact"/>
        <w:rPr>
          <w:rFonts w:ascii="微软雅黑" w:eastAsia="微软雅黑" w:hAnsi="微软雅黑" w:cs="宋体"/>
          <w:sz w:val="24"/>
        </w:rPr>
      </w:pPr>
    </w:p>
    <w:p w14:paraId="3A02922F" w14:textId="77777777" w:rsidR="00E14FFC" w:rsidRPr="00295E60" w:rsidRDefault="00E14FFC" w:rsidP="00E14FFC">
      <w:pPr>
        <w:spacing w:line="460" w:lineRule="exact"/>
        <w:ind w:firstLineChars="200" w:firstLine="420"/>
        <w:rPr>
          <w:rFonts w:ascii="微软雅黑" w:eastAsia="微软雅黑" w:hAnsi="微软雅黑" w:cs="宋体"/>
          <w:b/>
        </w:rPr>
      </w:pPr>
      <w:r w:rsidRPr="00295E60">
        <w:rPr>
          <w:rFonts w:ascii="微软雅黑" w:eastAsia="微软雅黑" w:hAnsi="微软雅黑" w:cs="宋体" w:hint="eastAsia"/>
          <w:b/>
        </w:rPr>
        <w:t>四、检测反馈与作假处理</w:t>
      </w:r>
    </w:p>
    <w:p w14:paraId="0FAEEC5E" w14:textId="77777777" w:rsidR="00E14FFC" w:rsidRPr="00295E60" w:rsidRDefault="00E14FFC" w:rsidP="00E14FFC">
      <w:pPr>
        <w:spacing w:line="460" w:lineRule="exact"/>
        <w:ind w:firstLineChars="200" w:firstLine="480"/>
        <w:rPr>
          <w:rFonts w:ascii="微软雅黑" w:eastAsia="微软雅黑" w:hAnsi="微软雅黑" w:cs="宋体"/>
          <w:sz w:val="24"/>
        </w:rPr>
      </w:pPr>
      <w:r w:rsidRPr="00295E60">
        <w:rPr>
          <w:rFonts w:ascii="微软雅黑" w:eastAsia="微软雅黑" w:hAnsi="微软雅黑" w:cs="宋体" w:hint="eastAsia"/>
          <w:sz w:val="24"/>
        </w:rPr>
        <w:t>各专业学位中心应切实规范检测结果反馈程序。检测结果一般应在一周内反馈至各研究生指导教师处，反馈内容一般应为检测结果值和检测报告单。各中心应同时下载“文献检测情况汇总表”，以便综合掌握本中心情况。</w:t>
      </w:r>
    </w:p>
    <w:p w14:paraId="44AE9D14" w14:textId="77777777" w:rsidR="00E14FFC" w:rsidRPr="00295E60" w:rsidRDefault="00E14FFC" w:rsidP="00E14FFC">
      <w:pPr>
        <w:spacing w:line="460" w:lineRule="exact"/>
        <w:ind w:firstLineChars="200" w:firstLine="480"/>
        <w:rPr>
          <w:rFonts w:ascii="微软雅黑" w:eastAsia="微软雅黑" w:hAnsi="微软雅黑" w:cs="宋体"/>
          <w:sz w:val="24"/>
        </w:rPr>
      </w:pPr>
      <w:r w:rsidRPr="00295E60">
        <w:rPr>
          <w:rFonts w:ascii="微软雅黑" w:eastAsia="微软雅黑" w:hAnsi="微软雅黑" w:cs="宋体" w:hint="eastAsia"/>
          <w:sz w:val="24"/>
        </w:rPr>
        <w:t>对于有疑问的检测结果，应及时向本单位分管领导及导师重点反映。论文指导教师对论文检测结果应主动关心，收悉结果后请及时督促、指导研究生规范和调整论文。</w:t>
      </w:r>
    </w:p>
    <w:p w14:paraId="79CCD451" w14:textId="77777777" w:rsidR="00E14FFC" w:rsidRPr="00295E60" w:rsidRDefault="00E14FFC" w:rsidP="00E14FFC">
      <w:pPr>
        <w:spacing w:line="460" w:lineRule="exact"/>
        <w:ind w:firstLineChars="200" w:firstLine="480"/>
        <w:rPr>
          <w:rFonts w:ascii="微软雅黑" w:eastAsia="微软雅黑" w:hAnsi="微软雅黑" w:cs="宋体"/>
          <w:sz w:val="24"/>
        </w:rPr>
      </w:pPr>
      <w:r w:rsidRPr="00295E60">
        <w:rPr>
          <w:rFonts w:ascii="微软雅黑" w:eastAsia="微软雅黑" w:hAnsi="微软雅黑" w:cs="宋体"/>
          <w:sz w:val="24"/>
        </w:rPr>
        <w:t>研究生院将随机对已通过重合率检测且完成答辩的学位论文进行学术不端行为电子检测，对存在作假嫌疑的学位论文，将提交学校学术伦理与法律委员会进行调查认定。一经确认存在作假行为，将根据</w:t>
      </w:r>
      <w:r w:rsidRPr="00295E60">
        <w:rPr>
          <w:rFonts w:ascii="微软雅黑" w:eastAsia="微软雅黑" w:hAnsi="微软雅黑" w:cs="宋体" w:hint="eastAsia"/>
          <w:sz w:val="24"/>
        </w:rPr>
        <w:t>教育部《学位论文作假行为处理办法》及学校有关规定处理。因学位论文作假而被取消其学位申请资格或撤销其学位者，其申诉、复议可按学校有关规定进行。</w:t>
      </w:r>
    </w:p>
    <w:p w14:paraId="41FA0F47" w14:textId="77777777" w:rsidR="00E14FFC" w:rsidRPr="00B10C08" w:rsidRDefault="00E14FFC" w:rsidP="00E14FFC">
      <w:pPr>
        <w:spacing w:line="460" w:lineRule="exact"/>
        <w:ind w:firstLineChars="200" w:firstLine="480"/>
        <w:rPr>
          <w:rFonts w:ascii="微软雅黑" w:eastAsia="微软雅黑" w:hAnsi="微软雅黑" w:cs="宋体"/>
          <w:sz w:val="24"/>
        </w:rPr>
      </w:pPr>
      <w:r w:rsidRPr="00295E60">
        <w:rPr>
          <w:rFonts w:ascii="微软雅黑" w:eastAsia="微软雅黑" w:hAnsi="微软雅黑" w:cs="宋体"/>
          <w:sz w:val="24"/>
        </w:rPr>
        <w:t>本办法自公布之日起实施，原专业学位论文检测工作暂行通知同时废止。</w:t>
      </w:r>
    </w:p>
    <w:p w14:paraId="38ACF047" w14:textId="77777777" w:rsidR="00236333" w:rsidRPr="00E14FFC" w:rsidRDefault="00236333"/>
    <w:sectPr w:rsidR="00236333" w:rsidRPr="00E14F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1FB03" w14:textId="77777777" w:rsidR="00E14FFC" w:rsidRDefault="00E14FFC" w:rsidP="00E14FFC">
      <w:r>
        <w:separator/>
      </w:r>
    </w:p>
  </w:endnote>
  <w:endnote w:type="continuationSeparator" w:id="0">
    <w:p w14:paraId="1EE68DBA" w14:textId="77777777" w:rsidR="00E14FFC" w:rsidRDefault="00E14FFC" w:rsidP="00E1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F862A" w14:textId="77777777" w:rsidR="00E14FFC" w:rsidRDefault="00E14FFC" w:rsidP="00E14FFC">
      <w:r>
        <w:separator/>
      </w:r>
    </w:p>
  </w:footnote>
  <w:footnote w:type="continuationSeparator" w:id="0">
    <w:p w14:paraId="0215624D" w14:textId="77777777" w:rsidR="00E14FFC" w:rsidRDefault="00E14FFC" w:rsidP="00E1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AC"/>
    <w:rsid w:val="00236333"/>
    <w:rsid w:val="008929AC"/>
    <w:rsid w:val="00E14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9E6FEB-A62E-455F-8D43-A8A86898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F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4FFC"/>
    <w:rPr>
      <w:sz w:val="18"/>
      <w:szCs w:val="18"/>
    </w:rPr>
  </w:style>
  <w:style w:type="paragraph" w:styleId="a5">
    <w:name w:val="footer"/>
    <w:basedOn w:val="a"/>
    <w:link w:val="a6"/>
    <w:uiPriority w:val="99"/>
    <w:unhideWhenUsed/>
    <w:rsid w:val="00E14FFC"/>
    <w:pPr>
      <w:tabs>
        <w:tab w:val="center" w:pos="4153"/>
        <w:tab w:val="right" w:pos="8306"/>
      </w:tabs>
      <w:snapToGrid w:val="0"/>
      <w:jc w:val="left"/>
    </w:pPr>
    <w:rPr>
      <w:sz w:val="18"/>
      <w:szCs w:val="18"/>
    </w:rPr>
  </w:style>
  <w:style w:type="character" w:customStyle="1" w:styleId="a6">
    <w:name w:val="页脚 字符"/>
    <w:basedOn w:val="a0"/>
    <w:link w:val="a5"/>
    <w:uiPriority w:val="99"/>
    <w:rsid w:val="00E14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wanghongying1982@126.com</dc:creator>
  <cp:keywords/>
  <dc:description/>
  <cp:lastModifiedBy>wanghongying1982@126.com</cp:lastModifiedBy>
  <cp:revision>2</cp:revision>
  <dcterms:created xsi:type="dcterms:W3CDTF">2020-04-03T14:43:00Z</dcterms:created>
  <dcterms:modified xsi:type="dcterms:W3CDTF">2020-04-03T14:44:00Z</dcterms:modified>
</cp:coreProperties>
</file>